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41044" w14:textId="77777777"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53A41045" w14:textId="77777777" w:rsidR="00F82B2B" w:rsidRDefault="00F82B2B" w:rsidP="005925CB">
      <w:pPr>
        <w:pStyle w:val="NoSpacing"/>
        <w:jc w:val="center"/>
        <w:rPr>
          <w:rFonts w:ascii="Arial" w:hAnsi="Arial" w:cs="Arial"/>
          <w:b/>
          <w:i/>
          <w:sz w:val="40"/>
          <w:szCs w:val="28"/>
        </w:rPr>
      </w:pPr>
    </w:p>
    <w:p w14:paraId="13291138" w14:textId="77777777" w:rsidR="0078201B" w:rsidRDefault="0078201B" w:rsidP="0078201B">
      <w:pPr>
        <w:spacing w:after="0" w:line="240" w:lineRule="auto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</w:p>
    <w:p w14:paraId="1E924365" w14:textId="77777777" w:rsidR="0078201B" w:rsidRDefault="0078201B" w:rsidP="0078201B">
      <w:pPr>
        <w:spacing w:after="0" w:line="240" w:lineRule="auto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</w:p>
    <w:p w14:paraId="12217B30" w14:textId="6C26568A" w:rsidR="0078201B" w:rsidRDefault="0078201B" w:rsidP="0078201B">
      <w:pPr>
        <w:spacing w:after="0" w:line="240" w:lineRule="auto"/>
        <w:jc w:val="center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  <w:r w:rsidRPr="000B031F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5D2E9CA" wp14:editId="575FB563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A917" w14:textId="77777777" w:rsidR="0078201B" w:rsidRDefault="0078201B" w:rsidP="0078201B">
      <w:pPr>
        <w:spacing w:after="0" w:line="240" w:lineRule="auto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</w:p>
    <w:p w14:paraId="7236E244" w14:textId="77777777" w:rsidR="0078201B" w:rsidRDefault="0078201B" w:rsidP="0078201B">
      <w:pPr>
        <w:spacing w:after="0" w:line="240" w:lineRule="auto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</w:p>
    <w:p w14:paraId="67D11B09" w14:textId="090CB0B1" w:rsidR="0078201B" w:rsidRPr="00C26B98" w:rsidRDefault="0078201B" w:rsidP="0078201B">
      <w:pPr>
        <w:spacing w:after="0" w:line="240" w:lineRule="auto"/>
        <w:rPr>
          <w:b/>
          <w:bCs/>
          <w:i/>
          <w:iCs/>
          <w:color w:val="000000"/>
        </w:rPr>
      </w:pP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</w:r>
      <w:r w:rsidRPr="00C26B98">
        <w:rPr>
          <w:b/>
          <w:bCs/>
          <w:i/>
          <w:iCs/>
          <w:color w:val="000000"/>
        </w:rPr>
        <w:tab/>
        <w:t xml:space="preserve">                                             </w:t>
      </w:r>
      <w:r w:rsidRPr="00C26B98">
        <w:rPr>
          <w:b/>
          <w:bCs/>
          <w:i/>
          <w:iCs/>
          <w:color w:val="000000"/>
        </w:rPr>
        <w:tab/>
        <w:t xml:space="preserve">             </w:t>
      </w:r>
    </w:p>
    <w:p w14:paraId="06D83891" w14:textId="77777777" w:rsidR="0078201B" w:rsidRDefault="0078201B" w:rsidP="0078201B">
      <w:pPr>
        <w:tabs>
          <w:tab w:val="left" w:pos="5459"/>
        </w:tabs>
        <w:ind w:left="-284"/>
        <w:jc w:val="both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</w:p>
    <w:p w14:paraId="5C7D5268" w14:textId="1AAE2050" w:rsidR="0078201B" w:rsidRPr="0078201B" w:rsidRDefault="0078201B" w:rsidP="0078201B">
      <w:pPr>
        <w:tabs>
          <w:tab w:val="left" w:pos="5459"/>
        </w:tabs>
        <w:ind w:left="-284"/>
        <w:jc w:val="both"/>
        <w:rPr>
          <w:b/>
          <w:bCs/>
          <w:i/>
          <w:iCs/>
          <w:color w:val="000000"/>
        </w:rPr>
      </w:pPr>
      <w:r w:rsidRPr="0078201B">
        <w:rPr>
          <w:b/>
          <w:bCs/>
          <w:i/>
          <w:iCs/>
          <w:color w:val="000000"/>
        </w:rPr>
        <w:t>Basın Bülteni</w:t>
      </w:r>
      <w:r>
        <w:rPr>
          <w:b/>
          <w:bCs/>
          <w:i/>
          <w:iCs/>
          <w:color w:val="000000"/>
        </w:rPr>
        <w:t xml:space="preserve">                                                                                                                               </w:t>
      </w:r>
      <w:r w:rsidRPr="00C26B98">
        <w:rPr>
          <w:b/>
          <w:bCs/>
          <w:i/>
          <w:iCs/>
          <w:color w:val="000000"/>
        </w:rPr>
        <w:t xml:space="preserve">Tarih: </w:t>
      </w:r>
      <w:r>
        <w:rPr>
          <w:b/>
          <w:bCs/>
          <w:i/>
          <w:iCs/>
          <w:color w:val="000000"/>
        </w:rPr>
        <w:t xml:space="preserve">6 Ocak </w:t>
      </w:r>
      <w:r w:rsidRPr="00C26B98">
        <w:rPr>
          <w:b/>
          <w:bCs/>
          <w:i/>
          <w:iCs/>
          <w:color w:val="000000"/>
        </w:rPr>
        <w:t>20</w:t>
      </w:r>
      <w:r>
        <w:rPr>
          <w:b/>
          <w:bCs/>
          <w:i/>
          <w:iCs/>
          <w:color w:val="000000"/>
        </w:rPr>
        <w:t>20</w:t>
      </w:r>
    </w:p>
    <w:p w14:paraId="7D9C0F49" w14:textId="77777777" w:rsidR="0078201B" w:rsidRDefault="0078201B" w:rsidP="0078201B">
      <w:pPr>
        <w:tabs>
          <w:tab w:val="left" w:pos="5459"/>
        </w:tabs>
        <w:ind w:left="-284"/>
        <w:jc w:val="both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</w:p>
    <w:p w14:paraId="1E6B0C23" w14:textId="251A50D7" w:rsidR="00E0727A" w:rsidRDefault="005413B2" w:rsidP="0078201B">
      <w:pPr>
        <w:tabs>
          <w:tab w:val="left" w:pos="5459"/>
        </w:tabs>
        <w:ind w:left="-284"/>
        <w:jc w:val="both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  <w:r w:rsidRPr="00D90FB6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>İDO</w:t>
      </w:r>
      <w:r w:rsidR="0078201B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 xml:space="preserve">, 89 ek seferle </w:t>
      </w:r>
      <w:r w:rsidR="00E0727A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>y</w:t>
      </w:r>
      <w:r w:rsidR="00353B57" w:rsidRPr="00D90FB6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>arı</w:t>
      </w:r>
      <w:r w:rsidR="00E0727A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 xml:space="preserve"> </w:t>
      </w:r>
      <w:r w:rsidR="00353B57" w:rsidRPr="00D90FB6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 xml:space="preserve">yıl </w:t>
      </w:r>
      <w:r w:rsidR="00E0727A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>t</w:t>
      </w:r>
      <w:r w:rsidR="00353B57" w:rsidRPr="00D90FB6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>atili</w:t>
      </w:r>
      <w:r w:rsidR="00E0727A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 xml:space="preserve">ne </w:t>
      </w:r>
      <w:r w:rsidR="00D90FB6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>hazır</w:t>
      </w:r>
      <w:r w:rsidR="00E0727A"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  <w:t>!</w:t>
      </w:r>
    </w:p>
    <w:p w14:paraId="53A41048" w14:textId="50CFE329" w:rsidR="00726080" w:rsidRPr="00E0727A" w:rsidRDefault="00726080" w:rsidP="000D63C5">
      <w:pPr>
        <w:ind w:left="-284"/>
        <w:rPr>
          <w:rFonts w:eastAsiaTheme="minorHAnsi"/>
          <w:b/>
          <w:bCs/>
          <w:i/>
          <w:iCs/>
          <w:color w:val="000000"/>
          <w:sz w:val="32"/>
          <w:szCs w:val="32"/>
          <w:lang w:eastAsia="en-US"/>
        </w:rPr>
      </w:pPr>
      <w:r w:rsidRPr="00D90FB6">
        <w:rPr>
          <w:b/>
          <w:bCs/>
          <w:i/>
          <w:iCs/>
          <w:color w:val="000000"/>
        </w:rPr>
        <w:t xml:space="preserve">İDO, </w:t>
      </w:r>
      <w:r w:rsidR="00701E26" w:rsidRPr="00D90FB6">
        <w:rPr>
          <w:b/>
          <w:bCs/>
          <w:i/>
          <w:iCs/>
          <w:color w:val="000000"/>
        </w:rPr>
        <w:t>1</w:t>
      </w:r>
      <w:r w:rsidR="000C7DD6" w:rsidRPr="00D90FB6">
        <w:rPr>
          <w:b/>
          <w:bCs/>
          <w:i/>
          <w:iCs/>
          <w:color w:val="000000"/>
        </w:rPr>
        <w:t>7</w:t>
      </w:r>
      <w:r w:rsidRPr="00D90FB6">
        <w:rPr>
          <w:b/>
          <w:bCs/>
          <w:i/>
          <w:iCs/>
          <w:color w:val="000000"/>
        </w:rPr>
        <w:t xml:space="preserve"> Ocak Cuma akşamı başlayacak v</w:t>
      </w:r>
      <w:r w:rsidR="00701E26" w:rsidRPr="00D90FB6">
        <w:rPr>
          <w:b/>
          <w:bCs/>
          <w:i/>
          <w:iCs/>
          <w:color w:val="000000"/>
        </w:rPr>
        <w:t xml:space="preserve">e </w:t>
      </w:r>
      <w:r w:rsidR="000C7DD6" w:rsidRPr="00D90FB6">
        <w:rPr>
          <w:b/>
          <w:bCs/>
          <w:i/>
          <w:iCs/>
          <w:color w:val="000000"/>
        </w:rPr>
        <w:t>2</w:t>
      </w:r>
      <w:r w:rsidRPr="00D90FB6">
        <w:rPr>
          <w:b/>
          <w:bCs/>
          <w:i/>
          <w:iCs/>
          <w:color w:val="000000"/>
        </w:rPr>
        <w:t xml:space="preserve"> Şubat Pazar günü sona erecek </w:t>
      </w:r>
      <w:proofErr w:type="spellStart"/>
      <w:r w:rsidR="00E0727A">
        <w:rPr>
          <w:b/>
          <w:bCs/>
          <w:i/>
          <w:iCs/>
          <w:color w:val="000000"/>
        </w:rPr>
        <w:t>s</w:t>
      </w:r>
      <w:r w:rsidR="00587904" w:rsidRPr="00D90FB6">
        <w:rPr>
          <w:b/>
          <w:bCs/>
          <w:i/>
          <w:iCs/>
          <w:color w:val="000000"/>
        </w:rPr>
        <w:t>ömest</w:t>
      </w:r>
      <w:r w:rsidR="00836F6A" w:rsidRPr="00D90FB6">
        <w:rPr>
          <w:b/>
          <w:bCs/>
          <w:i/>
          <w:iCs/>
          <w:color w:val="000000"/>
        </w:rPr>
        <w:t>i</w:t>
      </w:r>
      <w:r w:rsidR="00587904" w:rsidRPr="00D90FB6">
        <w:rPr>
          <w:b/>
          <w:bCs/>
          <w:i/>
          <w:iCs/>
          <w:color w:val="000000"/>
        </w:rPr>
        <w:t>r</w:t>
      </w:r>
      <w:proofErr w:type="spellEnd"/>
      <w:r w:rsidR="00587904" w:rsidRPr="00D90FB6">
        <w:rPr>
          <w:b/>
          <w:bCs/>
          <w:i/>
          <w:iCs/>
          <w:color w:val="000000"/>
        </w:rPr>
        <w:t xml:space="preserve"> </w:t>
      </w:r>
      <w:r w:rsidR="00E0727A">
        <w:rPr>
          <w:b/>
          <w:bCs/>
          <w:i/>
          <w:iCs/>
          <w:color w:val="000000"/>
        </w:rPr>
        <w:t>tatilinin</w:t>
      </w:r>
      <w:r w:rsidRPr="00D90FB6">
        <w:rPr>
          <w:b/>
          <w:bCs/>
          <w:i/>
          <w:iCs/>
          <w:color w:val="000000"/>
        </w:rPr>
        <w:t xml:space="preserve">, bayram tatili yoğunluğunda geçeceğini öngörerek tüm hazırlıklarını tamamladı. İki hafta boyunca </w:t>
      </w:r>
      <w:r w:rsidR="00C32F2B">
        <w:rPr>
          <w:b/>
          <w:bCs/>
          <w:i/>
          <w:iCs/>
          <w:color w:val="000000"/>
        </w:rPr>
        <w:t xml:space="preserve">89 </w:t>
      </w:r>
      <w:r w:rsidRPr="00D90FB6">
        <w:rPr>
          <w:b/>
          <w:bCs/>
          <w:i/>
          <w:iCs/>
          <w:color w:val="000000"/>
        </w:rPr>
        <w:t>ek sefer</w:t>
      </w:r>
      <w:r w:rsidR="00C32F2B">
        <w:rPr>
          <w:b/>
          <w:bCs/>
          <w:i/>
          <w:iCs/>
          <w:color w:val="000000"/>
        </w:rPr>
        <w:t xml:space="preserve"> </w:t>
      </w:r>
      <w:r w:rsidRPr="00D90FB6">
        <w:rPr>
          <w:b/>
          <w:bCs/>
          <w:i/>
          <w:iCs/>
          <w:color w:val="000000"/>
        </w:rPr>
        <w:t>koyan İDO, bir yandan da hesaplı seçenekler sunduğu biletlerin satışını sürdürüyo</w:t>
      </w:r>
      <w:r w:rsidR="00E0727A">
        <w:rPr>
          <w:b/>
          <w:bCs/>
          <w:i/>
          <w:iCs/>
          <w:color w:val="000000"/>
        </w:rPr>
        <w:t>r.</w:t>
      </w:r>
    </w:p>
    <w:p w14:paraId="31808828" w14:textId="455C3F74" w:rsidR="00BF25AF" w:rsidRDefault="0052446C" w:rsidP="00C32F2B">
      <w:pPr>
        <w:ind w:left="-284"/>
        <w:jc w:val="both"/>
        <w:rPr>
          <w:rFonts w:cstheme="minorHAnsi"/>
          <w:b/>
        </w:rPr>
      </w:pPr>
      <w:r w:rsidRPr="00E0727A">
        <w:rPr>
          <w:rFonts w:cstheme="minorHAnsi"/>
          <w:color w:val="000000"/>
        </w:rPr>
        <w:t>İDO, iki hafta sürecek, milyonlarca öğrenciyi ve ailesini yakından</w:t>
      </w:r>
      <w:r w:rsidRPr="00E0727A">
        <w:rPr>
          <w:rFonts w:cstheme="minorHAnsi"/>
        </w:rPr>
        <w:t xml:space="preserve"> ilgilendiren </w:t>
      </w:r>
      <w:proofErr w:type="spellStart"/>
      <w:r w:rsidRPr="00E0727A">
        <w:rPr>
          <w:rFonts w:cstheme="minorHAnsi"/>
        </w:rPr>
        <w:t>sömest</w:t>
      </w:r>
      <w:r w:rsidR="00836F6A" w:rsidRPr="00E0727A">
        <w:rPr>
          <w:rFonts w:cstheme="minorHAnsi"/>
        </w:rPr>
        <w:t>i</w:t>
      </w:r>
      <w:r w:rsidRPr="00E0727A">
        <w:rPr>
          <w:rFonts w:cstheme="minorHAnsi"/>
        </w:rPr>
        <w:t>r</w:t>
      </w:r>
      <w:proofErr w:type="spellEnd"/>
      <w:r w:rsidRPr="00E0727A">
        <w:rPr>
          <w:rFonts w:cstheme="minorHAnsi"/>
        </w:rPr>
        <w:t xml:space="preserve"> tatili</w:t>
      </w:r>
      <w:r w:rsidR="00BF25AF">
        <w:rPr>
          <w:rFonts w:cstheme="minorHAnsi"/>
        </w:rPr>
        <w:t xml:space="preserve">ne </w:t>
      </w:r>
      <w:r w:rsidRPr="00E0727A">
        <w:rPr>
          <w:rFonts w:cstheme="minorHAnsi"/>
        </w:rPr>
        <w:t>hazır</w:t>
      </w:r>
      <w:r w:rsidR="00C32F2B">
        <w:rPr>
          <w:rFonts w:cstheme="minorHAnsi"/>
        </w:rPr>
        <w:t xml:space="preserve">. </w:t>
      </w:r>
      <w:r w:rsidRPr="00C32F2B">
        <w:rPr>
          <w:rFonts w:cstheme="minorHAnsi"/>
        </w:rPr>
        <w:t>Özellikle</w:t>
      </w:r>
      <w:r w:rsidRPr="00E0727A">
        <w:rPr>
          <w:rFonts w:cstheme="minorHAnsi"/>
        </w:rPr>
        <w:t xml:space="preserve"> tatilin </w:t>
      </w:r>
      <w:r w:rsidR="00D611EE" w:rsidRPr="00E0727A">
        <w:rPr>
          <w:rFonts w:cstheme="minorHAnsi"/>
        </w:rPr>
        <w:t>ilk</w:t>
      </w:r>
      <w:r w:rsidRPr="00E0727A">
        <w:rPr>
          <w:rFonts w:cstheme="minorHAnsi"/>
        </w:rPr>
        <w:t xml:space="preserve"> ve son günlerinde dış hat seferlerinde oluş</w:t>
      </w:r>
      <w:r w:rsidR="00BF25AF">
        <w:rPr>
          <w:rFonts w:cstheme="minorHAnsi"/>
        </w:rPr>
        <w:t xml:space="preserve">abilecek yoğunluklara </w:t>
      </w:r>
      <w:r w:rsidRPr="00E0727A">
        <w:rPr>
          <w:rFonts w:cstheme="minorHAnsi"/>
        </w:rPr>
        <w:t xml:space="preserve">karşı tedbirlerini </w:t>
      </w:r>
      <w:r w:rsidR="00D611EE" w:rsidRPr="00E0727A">
        <w:rPr>
          <w:rFonts w:cstheme="minorHAnsi"/>
        </w:rPr>
        <w:t>alan</w:t>
      </w:r>
      <w:r w:rsidRPr="00E0727A">
        <w:rPr>
          <w:rFonts w:cstheme="minorHAnsi"/>
        </w:rPr>
        <w:t xml:space="preserve"> İDO, </w:t>
      </w:r>
      <w:r w:rsidR="00C32F2B">
        <w:rPr>
          <w:rFonts w:cstheme="minorHAnsi"/>
        </w:rPr>
        <w:t xml:space="preserve">89 </w:t>
      </w:r>
      <w:r w:rsidRPr="00E0727A">
        <w:rPr>
          <w:rFonts w:cstheme="minorHAnsi"/>
        </w:rPr>
        <w:t>ek seferle</w:t>
      </w:r>
      <w:r w:rsidR="00C32F2B">
        <w:rPr>
          <w:rFonts w:cstheme="minorHAnsi"/>
        </w:rPr>
        <w:t xml:space="preserve"> </w:t>
      </w:r>
      <w:r w:rsidRPr="00E0727A">
        <w:rPr>
          <w:rFonts w:cstheme="minorHAnsi"/>
        </w:rPr>
        <w:t>bu yoğunluğu</w:t>
      </w:r>
      <w:r w:rsidR="00BF25AF">
        <w:rPr>
          <w:rFonts w:cstheme="minorHAnsi"/>
        </w:rPr>
        <w:t xml:space="preserve"> </w:t>
      </w:r>
      <w:r w:rsidRPr="00E0727A">
        <w:rPr>
          <w:rFonts w:cstheme="minorHAnsi"/>
        </w:rPr>
        <w:t xml:space="preserve">rahatlatacak. </w:t>
      </w:r>
    </w:p>
    <w:p w14:paraId="53A41049" w14:textId="679093A6" w:rsidR="0052446C" w:rsidRPr="0091576A" w:rsidRDefault="0091576A" w:rsidP="00486BDA">
      <w:pPr>
        <w:ind w:left="-284"/>
        <w:jc w:val="both"/>
        <w:rPr>
          <w:rFonts w:cstheme="minorHAnsi"/>
        </w:rPr>
      </w:pPr>
      <w:r w:rsidRPr="0091576A">
        <w:rPr>
          <w:rFonts w:cstheme="minorHAnsi"/>
          <w:b/>
        </w:rPr>
        <w:t>Y</w:t>
      </w:r>
      <w:r w:rsidR="00E0727A" w:rsidRPr="0091576A">
        <w:rPr>
          <w:rFonts w:cstheme="minorHAnsi"/>
          <w:b/>
        </w:rPr>
        <w:t xml:space="preserve">arıyıl </w:t>
      </w:r>
      <w:r w:rsidR="00BF25AF" w:rsidRPr="0091576A">
        <w:rPr>
          <w:rFonts w:cstheme="minorHAnsi"/>
          <w:b/>
        </w:rPr>
        <w:t>t</w:t>
      </w:r>
      <w:r w:rsidR="00E0727A" w:rsidRPr="0091576A">
        <w:rPr>
          <w:rFonts w:cstheme="minorHAnsi"/>
          <w:b/>
        </w:rPr>
        <w:t>ati</w:t>
      </w:r>
      <w:r w:rsidRPr="0091576A">
        <w:rPr>
          <w:rFonts w:cstheme="minorHAnsi"/>
          <w:b/>
        </w:rPr>
        <w:t xml:space="preserve">linde </w:t>
      </w:r>
      <w:r w:rsidR="00E0727A" w:rsidRPr="0091576A">
        <w:rPr>
          <w:rFonts w:cstheme="minorHAnsi"/>
          <w:b/>
        </w:rPr>
        <w:t>rahat, hızlı ve avantajlı seyahatin adresi</w:t>
      </w:r>
      <w:r w:rsidRPr="0091576A">
        <w:rPr>
          <w:rFonts w:cstheme="minorHAnsi"/>
          <w:b/>
        </w:rPr>
        <w:t xml:space="preserve"> İDO</w:t>
      </w:r>
    </w:p>
    <w:p w14:paraId="5C09621C" w14:textId="2C57A72A" w:rsidR="00C767B7" w:rsidRPr="0091576A" w:rsidRDefault="0052446C" w:rsidP="00001F98">
      <w:pPr>
        <w:spacing w:line="240" w:lineRule="auto"/>
        <w:ind w:left="-284"/>
        <w:rPr>
          <w:rFonts w:cstheme="minorHAnsi"/>
        </w:rPr>
      </w:pPr>
      <w:r w:rsidRPr="0091576A">
        <w:rPr>
          <w:rFonts w:cstheme="minorHAnsi"/>
        </w:rPr>
        <w:t>İDO</w:t>
      </w:r>
      <w:r w:rsidR="00C32F2B">
        <w:rPr>
          <w:rFonts w:cstheme="minorHAnsi"/>
        </w:rPr>
        <w:t xml:space="preserve">, </w:t>
      </w:r>
      <w:proofErr w:type="spellStart"/>
      <w:r w:rsidR="00001F98">
        <w:rPr>
          <w:rFonts w:cstheme="minorHAnsi"/>
        </w:rPr>
        <w:t>s</w:t>
      </w:r>
      <w:r w:rsidRPr="0091576A">
        <w:rPr>
          <w:rFonts w:cstheme="minorHAnsi"/>
        </w:rPr>
        <w:t>ömest</w:t>
      </w:r>
      <w:r w:rsidR="00836F6A" w:rsidRPr="0091576A">
        <w:rPr>
          <w:rFonts w:cstheme="minorHAnsi"/>
        </w:rPr>
        <w:t>i</w:t>
      </w:r>
      <w:r w:rsidRPr="0091576A">
        <w:rPr>
          <w:rFonts w:cstheme="minorHAnsi"/>
        </w:rPr>
        <w:t>r</w:t>
      </w:r>
      <w:proofErr w:type="spellEnd"/>
      <w:r w:rsidRPr="0091576A">
        <w:rPr>
          <w:rFonts w:cstheme="minorHAnsi"/>
        </w:rPr>
        <w:t xml:space="preserve"> tatilinde oluşacak yoğunluk nedeniyle talebi karşılamak amacıyla </w:t>
      </w:r>
      <w:r w:rsidR="00701E26" w:rsidRPr="00182384">
        <w:rPr>
          <w:rFonts w:cstheme="minorHAnsi"/>
          <w:b/>
          <w:iCs/>
        </w:rPr>
        <w:t>8</w:t>
      </w:r>
      <w:r w:rsidR="009506A8" w:rsidRPr="00182384">
        <w:rPr>
          <w:rFonts w:cstheme="minorHAnsi"/>
          <w:b/>
          <w:iCs/>
        </w:rPr>
        <w:t>9</w:t>
      </w:r>
      <w:r w:rsidRPr="00182384">
        <w:rPr>
          <w:rFonts w:cstheme="minorHAnsi"/>
          <w:b/>
          <w:iCs/>
        </w:rPr>
        <w:t xml:space="preserve"> adet ek sefer</w:t>
      </w:r>
      <w:r w:rsidRPr="0091576A">
        <w:rPr>
          <w:rFonts w:cstheme="minorHAnsi"/>
        </w:rPr>
        <w:t xml:space="preserve"> düzenl</w:t>
      </w:r>
      <w:r w:rsidR="00001F98">
        <w:rPr>
          <w:rFonts w:cstheme="minorHAnsi"/>
        </w:rPr>
        <w:t xml:space="preserve">eyecek. </w:t>
      </w:r>
      <w:proofErr w:type="spellStart"/>
      <w:r w:rsidR="00B3428A" w:rsidRPr="0091576A">
        <w:rPr>
          <w:rFonts w:cstheme="minorHAnsi"/>
        </w:rPr>
        <w:t>İDO</w:t>
      </w:r>
      <w:r w:rsidR="00001F98">
        <w:rPr>
          <w:rFonts w:cstheme="minorHAnsi"/>
        </w:rPr>
        <w:t>’nun</w:t>
      </w:r>
      <w:proofErr w:type="spellEnd"/>
      <w:r w:rsidR="00001F98">
        <w:rPr>
          <w:rFonts w:cstheme="minorHAnsi"/>
        </w:rPr>
        <w:t xml:space="preserve"> </w:t>
      </w:r>
      <w:r w:rsidR="00B3428A" w:rsidRPr="0091576A">
        <w:rPr>
          <w:rFonts w:cstheme="minorHAnsi"/>
        </w:rPr>
        <w:t xml:space="preserve">ek seferlerle birlikte </w:t>
      </w:r>
      <w:proofErr w:type="spellStart"/>
      <w:r w:rsidR="00B3428A" w:rsidRPr="0091576A">
        <w:rPr>
          <w:rFonts w:cstheme="minorHAnsi"/>
        </w:rPr>
        <w:t>Sömest</w:t>
      </w:r>
      <w:r w:rsidR="00836F6A" w:rsidRPr="0091576A">
        <w:rPr>
          <w:rFonts w:cstheme="minorHAnsi"/>
        </w:rPr>
        <w:t>i</w:t>
      </w:r>
      <w:r w:rsidR="00B3428A" w:rsidRPr="0091576A">
        <w:rPr>
          <w:rFonts w:cstheme="minorHAnsi"/>
        </w:rPr>
        <w:t>r</w:t>
      </w:r>
      <w:proofErr w:type="spellEnd"/>
      <w:r w:rsidR="00B3428A" w:rsidRPr="0091576A">
        <w:rPr>
          <w:rFonts w:cstheme="minorHAnsi"/>
        </w:rPr>
        <w:t xml:space="preserve"> döneminde </w:t>
      </w:r>
      <w:r w:rsidRPr="0091576A">
        <w:rPr>
          <w:rFonts w:cstheme="minorHAnsi"/>
        </w:rPr>
        <w:t xml:space="preserve">dış hat hızlı feribot ve deniz otobüsü </w:t>
      </w:r>
      <w:r w:rsidR="008D4F13" w:rsidRPr="0091576A">
        <w:rPr>
          <w:rFonts w:cstheme="minorHAnsi"/>
        </w:rPr>
        <w:t xml:space="preserve">sefer </w:t>
      </w:r>
      <w:r w:rsidRPr="0091576A">
        <w:rPr>
          <w:rFonts w:cstheme="minorHAnsi"/>
        </w:rPr>
        <w:t xml:space="preserve">sayısı </w:t>
      </w:r>
      <w:r w:rsidR="00821428" w:rsidRPr="00182384">
        <w:rPr>
          <w:rFonts w:cstheme="minorHAnsi"/>
          <w:b/>
          <w:iCs/>
        </w:rPr>
        <w:t>1</w:t>
      </w:r>
      <w:r w:rsidR="00D50BB2" w:rsidRPr="00182384">
        <w:rPr>
          <w:rFonts w:cstheme="minorHAnsi"/>
          <w:b/>
          <w:iCs/>
        </w:rPr>
        <w:t>226</w:t>
      </w:r>
      <w:r w:rsidR="001F3EFA" w:rsidRPr="00182384">
        <w:rPr>
          <w:rFonts w:cstheme="minorHAnsi"/>
          <w:b/>
          <w:iCs/>
        </w:rPr>
        <w:t>’</w:t>
      </w:r>
      <w:r w:rsidR="00D50BB2" w:rsidRPr="00182384">
        <w:rPr>
          <w:rFonts w:cstheme="minorHAnsi"/>
          <w:b/>
          <w:iCs/>
        </w:rPr>
        <w:t>ya</w:t>
      </w:r>
      <w:r w:rsidRPr="00182384">
        <w:rPr>
          <w:rFonts w:cstheme="minorHAnsi"/>
          <w:b/>
          <w:iCs/>
        </w:rPr>
        <w:t xml:space="preserve"> </w:t>
      </w:r>
      <w:r w:rsidRPr="0091576A">
        <w:rPr>
          <w:rFonts w:cstheme="minorHAnsi"/>
        </w:rPr>
        <w:t xml:space="preserve">ulaşacak. </w:t>
      </w:r>
      <w:r w:rsidR="00C767B7" w:rsidRPr="0091576A">
        <w:rPr>
          <w:rFonts w:cstheme="minorHAnsi"/>
        </w:rPr>
        <w:t xml:space="preserve"> </w:t>
      </w:r>
      <w:r w:rsidR="00FC7410" w:rsidRPr="0091576A">
        <w:rPr>
          <w:rFonts w:cstheme="minorHAnsi"/>
        </w:rPr>
        <w:t>İDO, bu 1</w:t>
      </w:r>
      <w:r w:rsidR="008D7552" w:rsidRPr="0091576A">
        <w:rPr>
          <w:rFonts w:cstheme="minorHAnsi"/>
        </w:rPr>
        <w:t>4</w:t>
      </w:r>
      <w:r w:rsidR="00FC7410" w:rsidRPr="0091576A">
        <w:rPr>
          <w:rFonts w:cstheme="minorHAnsi"/>
        </w:rPr>
        <w:t xml:space="preserve"> günlük sürede, yaklaşık </w:t>
      </w:r>
      <w:r w:rsidR="00FE3125" w:rsidRPr="00182384">
        <w:rPr>
          <w:rFonts w:cstheme="minorHAnsi"/>
          <w:b/>
          <w:iCs/>
        </w:rPr>
        <w:t>675</w:t>
      </w:r>
      <w:r w:rsidR="00FC7410" w:rsidRPr="00182384">
        <w:rPr>
          <w:rFonts w:cstheme="minorHAnsi"/>
          <w:b/>
          <w:iCs/>
        </w:rPr>
        <w:t xml:space="preserve"> bin yolcu</w:t>
      </w:r>
      <w:r w:rsidR="00FC7410" w:rsidRPr="00182384">
        <w:rPr>
          <w:rFonts w:cstheme="minorHAnsi"/>
          <w:iCs/>
        </w:rPr>
        <w:t xml:space="preserve"> ve </w:t>
      </w:r>
      <w:r w:rsidR="00FE3125" w:rsidRPr="00182384">
        <w:rPr>
          <w:rFonts w:cstheme="minorHAnsi"/>
          <w:b/>
          <w:iCs/>
        </w:rPr>
        <w:t>10</w:t>
      </w:r>
      <w:r w:rsidR="00FC7410" w:rsidRPr="00182384">
        <w:rPr>
          <w:rFonts w:cstheme="minorHAnsi"/>
          <w:b/>
          <w:iCs/>
        </w:rPr>
        <w:t>0 bin araç kapasitesi</w:t>
      </w:r>
      <w:r w:rsidR="00FC7410" w:rsidRPr="00182384">
        <w:rPr>
          <w:rFonts w:cstheme="minorHAnsi"/>
        </w:rPr>
        <w:t xml:space="preserve"> </w:t>
      </w:r>
      <w:r w:rsidR="00FC7410" w:rsidRPr="0091576A">
        <w:rPr>
          <w:rFonts w:cstheme="minorHAnsi"/>
        </w:rPr>
        <w:t>sun</w:t>
      </w:r>
      <w:r w:rsidR="00001F98">
        <w:rPr>
          <w:rFonts w:cstheme="minorHAnsi"/>
        </w:rPr>
        <w:t>acak</w:t>
      </w:r>
      <w:r w:rsidR="00FC7410" w:rsidRPr="0091576A">
        <w:rPr>
          <w:rFonts w:cstheme="minorHAnsi"/>
        </w:rPr>
        <w:t xml:space="preserve">. </w:t>
      </w:r>
      <w:r w:rsidR="00C767B7" w:rsidRPr="0091576A">
        <w:rPr>
          <w:rFonts w:cstheme="minorHAnsi"/>
        </w:rPr>
        <w:t xml:space="preserve">İDO, </w:t>
      </w:r>
      <w:r w:rsidR="009C2CA5" w:rsidRPr="0091576A">
        <w:rPr>
          <w:rFonts w:cstheme="minorHAnsi"/>
        </w:rPr>
        <w:t xml:space="preserve">ayrıca </w:t>
      </w:r>
      <w:r w:rsidR="00C767B7" w:rsidRPr="0091576A">
        <w:rPr>
          <w:rFonts w:cstheme="minorHAnsi"/>
        </w:rPr>
        <w:t>Körfez geçişinde avantajlı bir alternatif sunduğu Eskihisar-Topçular hattında 24 saat kesintisiz doldur-boşalt sistemiyle sefer yapmaya devam edecek.</w:t>
      </w:r>
    </w:p>
    <w:p w14:paraId="2ADD82B3" w14:textId="148D2F6C" w:rsidR="00E43948" w:rsidRDefault="00442DAE" w:rsidP="00182384">
      <w:pPr>
        <w:ind w:left="-284"/>
        <w:rPr>
          <w:rFonts w:cstheme="minorHAnsi"/>
        </w:rPr>
      </w:pPr>
      <w:r w:rsidRPr="0091576A">
        <w:rPr>
          <w:rFonts w:cstheme="minorHAnsi"/>
        </w:rPr>
        <w:t>2020 yılın</w:t>
      </w:r>
      <w:r w:rsidR="007C1A7D" w:rsidRPr="0091576A">
        <w:rPr>
          <w:rFonts w:cstheme="minorHAnsi"/>
        </w:rPr>
        <w:t>a</w:t>
      </w:r>
      <w:r w:rsidRPr="0091576A">
        <w:rPr>
          <w:rFonts w:cstheme="minorHAnsi"/>
        </w:rPr>
        <w:t xml:space="preserve"> 2019 yılı fiyatlarıyla </w:t>
      </w:r>
      <w:r w:rsidR="00DC635E" w:rsidRPr="0091576A">
        <w:rPr>
          <w:rFonts w:cstheme="minorHAnsi"/>
        </w:rPr>
        <w:t xml:space="preserve">devam eden </w:t>
      </w:r>
      <w:proofErr w:type="spellStart"/>
      <w:r w:rsidR="007C1A7D" w:rsidRPr="0091576A">
        <w:rPr>
          <w:rFonts w:cstheme="minorHAnsi"/>
        </w:rPr>
        <w:t>İDO</w:t>
      </w:r>
      <w:r w:rsidR="00001F98">
        <w:rPr>
          <w:rFonts w:cstheme="minorHAnsi"/>
        </w:rPr>
        <w:t>’nun</w:t>
      </w:r>
      <w:proofErr w:type="spellEnd"/>
      <w:r w:rsidR="00001F98">
        <w:rPr>
          <w:rFonts w:cstheme="minorHAnsi"/>
        </w:rPr>
        <w:t xml:space="preserve"> </w:t>
      </w:r>
      <w:r w:rsidR="00DC635E" w:rsidRPr="0091576A">
        <w:rPr>
          <w:rFonts w:cstheme="minorHAnsi"/>
        </w:rPr>
        <w:t>çok hesaplı fiyat seçenekleri</w:t>
      </w:r>
      <w:r w:rsidR="00E44330">
        <w:rPr>
          <w:rFonts w:cstheme="minorHAnsi"/>
        </w:rPr>
        <w:t xml:space="preserve">, </w:t>
      </w:r>
      <w:proofErr w:type="spellStart"/>
      <w:r w:rsidR="00DC635E" w:rsidRPr="0091576A">
        <w:rPr>
          <w:rFonts w:cstheme="minorHAnsi"/>
        </w:rPr>
        <w:t>sömest</w:t>
      </w:r>
      <w:r w:rsidR="00836F6A" w:rsidRPr="0091576A">
        <w:rPr>
          <w:rFonts w:cstheme="minorHAnsi"/>
        </w:rPr>
        <w:t>i</w:t>
      </w:r>
      <w:r w:rsidR="00DC635E" w:rsidRPr="0091576A">
        <w:rPr>
          <w:rFonts w:cstheme="minorHAnsi"/>
        </w:rPr>
        <w:t>r</w:t>
      </w:r>
      <w:proofErr w:type="spellEnd"/>
      <w:r w:rsidR="00DC635E" w:rsidRPr="0091576A">
        <w:rPr>
          <w:rFonts w:cstheme="minorHAnsi"/>
        </w:rPr>
        <w:t xml:space="preserve"> boyunca yolcularla buluşmay</w:t>
      </w:r>
      <w:r w:rsidR="00001F98">
        <w:rPr>
          <w:rFonts w:cstheme="minorHAnsi"/>
        </w:rPr>
        <w:t xml:space="preserve">ı sürdürecek. </w:t>
      </w:r>
      <w:r w:rsidR="00DC635E" w:rsidRPr="0091576A">
        <w:rPr>
          <w:rFonts w:cstheme="minorHAnsi"/>
        </w:rPr>
        <w:t xml:space="preserve">Deniz otobüsü dış hatlarda, </w:t>
      </w:r>
      <w:r w:rsidR="00D277EE" w:rsidRPr="0091576A">
        <w:rPr>
          <w:rFonts w:cstheme="minorHAnsi"/>
        </w:rPr>
        <w:t xml:space="preserve">Bostancı-Yenikapı-Bandırma </w:t>
      </w:r>
      <w:r w:rsidR="00D277EE" w:rsidRPr="0091576A">
        <w:rPr>
          <w:rFonts w:cstheme="minorHAnsi"/>
          <w:b/>
        </w:rPr>
        <w:t>52 TL</w:t>
      </w:r>
      <w:r w:rsidR="00D277EE" w:rsidRPr="0091576A">
        <w:rPr>
          <w:rFonts w:cstheme="minorHAnsi"/>
        </w:rPr>
        <w:t xml:space="preserve">, Kadıköy-Yenikapı-Bursa </w:t>
      </w:r>
      <w:r w:rsidR="00D277EE" w:rsidRPr="0091576A">
        <w:rPr>
          <w:rFonts w:cstheme="minorHAnsi"/>
          <w:b/>
        </w:rPr>
        <w:t>24 TL</w:t>
      </w:r>
      <w:r w:rsidR="00D277EE" w:rsidRPr="0091576A">
        <w:rPr>
          <w:rFonts w:cstheme="minorHAnsi"/>
        </w:rPr>
        <w:t xml:space="preserve">, Kadıköy-Yenikapı-Armutlu T.K-Armutlu-Bursa </w:t>
      </w:r>
      <w:r w:rsidR="00D277EE" w:rsidRPr="0091576A">
        <w:rPr>
          <w:rFonts w:cstheme="minorHAnsi"/>
          <w:b/>
        </w:rPr>
        <w:t>24 TL</w:t>
      </w:r>
      <w:r w:rsidR="00D277EE" w:rsidRPr="0091576A">
        <w:rPr>
          <w:rFonts w:cstheme="minorHAnsi"/>
        </w:rPr>
        <w:t xml:space="preserve"> ve Büyükçekmece-Bursa hattında </w:t>
      </w:r>
      <w:r w:rsidR="00D277EE" w:rsidRPr="0091576A">
        <w:rPr>
          <w:rFonts w:cstheme="minorHAnsi"/>
          <w:b/>
        </w:rPr>
        <w:t>24 TL</w:t>
      </w:r>
      <w:r w:rsidR="00D277EE" w:rsidRPr="0091576A">
        <w:rPr>
          <w:rFonts w:cstheme="minorHAnsi"/>
        </w:rPr>
        <w:t xml:space="preserve">’den başlayan avantajlı fiyat seçenekleri sunuyor. </w:t>
      </w:r>
    </w:p>
    <w:p w14:paraId="3F2DE374" w14:textId="77777777" w:rsidR="00923782" w:rsidRDefault="00E44330" w:rsidP="00923782">
      <w:pPr>
        <w:ind w:left="-284"/>
        <w:jc w:val="both"/>
        <w:rPr>
          <w:rFonts w:cstheme="minorHAnsi"/>
          <w:b/>
        </w:rPr>
      </w:pPr>
      <w:r w:rsidRPr="00923782">
        <w:rPr>
          <w:rFonts w:cstheme="minorHAnsi"/>
          <w:b/>
        </w:rPr>
        <w:t>Hızlı Feribot hatlarında avantajlı fiyatlar</w:t>
      </w:r>
    </w:p>
    <w:p w14:paraId="53A41050" w14:textId="3FCC0B03" w:rsidR="00DC635E" w:rsidRDefault="00923782" w:rsidP="00B93280">
      <w:pPr>
        <w:ind w:left="-284"/>
        <w:rPr>
          <w:rFonts w:cstheme="minorHAnsi"/>
          <w:bCs/>
        </w:rPr>
      </w:pPr>
      <w:proofErr w:type="spellStart"/>
      <w:r w:rsidRPr="00B93280">
        <w:rPr>
          <w:rFonts w:cstheme="minorHAnsi"/>
          <w:bCs/>
        </w:rPr>
        <w:t>İDO’nun</w:t>
      </w:r>
      <w:proofErr w:type="spellEnd"/>
      <w:r w:rsidRPr="00B93280">
        <w:rPr>
          <w:rFonts w:cstheme="minorHAnsi"/>
          <w:bCs/>
        </w:rPr>
        <w:t xml:space="preserve"> Hızlı Feribot hatlarında ise </w:t>
      </w:r>
      <w:r w:rsidR="002075CA" w:rsidRPr="00B93280">
        <w:rPr>
          <w:rFonts w:cstheme="minorHAnsi"/>
          <w:bCs/>
        </w:rPr>
        <w:t>Pendik-Yalova hattında yaya yolcu 10 TL</w:t>
      </w:r>
      <w:r w:rsidRPr="00B93280">
        <w:rPr>
          <w:rFonts w:cstheme="minorHAnsi"/>
          <w:bCs/>
        </w:rPr>
        <w:t xml:space="preserve"> </w:t>
      </w:r>
      <w:r w:rsidR="002075CA" w:rsidRPr="00B93280">
        <w:rPr>
          <w:rFonts w:cstheme="minorHAnsi"/>
          <w:bCs/>
        </w:rPr>
        <w:t>araç içi yolcu sabit 1 TL, araç sabit 75 TL;</w:t>
      </w:r>
      <w:r w:rsidRPr="00B93280">
        <w:rPr>
          <w:rFonts w:cstheme="minorHAnsi"/>
          <w:bCs/>
        </w:rPr>
        <w:t xml:space="preserve"> </w:t>
      </w:r>
      <w:r w:rsidR="007573E0" w:rsidRPr="00B93280">
        <w:rPr>
          <w:rFonts w:cstheme="minorHAnsi"/>
          <w:bCs/>
        </w:rPr>
        <w:t xml:space="preserve">Yenikapı-Yalova hattında </w:t>
      </w:r>
      <w:r w:rsidR="008F6D20" w:rsidRPr="00B93280">
        <w:rPr>
          <w:rFonts w:cstheme="minorHAnsi"/>
          <w:bCs/>
        </w:rPr>
        <w:t xml:space="preserve">yaya yolcu </w:t>
      </w:r>
      <w:r w:rsidR="00E31A1B" w:rsidRPr="00B93280">
        <w:rPr>
          <w:rFonts w:cstheme="minorHAnsi"/>
          <w:bCs/>
        </w:rPr>
        <w:t>22</w:t>
      </w:r>
      <w:r w:rsidR="008F6D20" w:rsidRPr="00B93280">
        <w:rPr>
          <w:rFonts w:cstheme="minorHAnsi"/>
          <w:bCs/>
        </w:rPr>
        <w:t xml:space="preserve"> TL, araç içi yolcu sabit 1</w:t>
      </w:r>
      <w:r w:rsidR="00E31A1B" w:rsidRPr="00B93280">
        <w:rPr>
          <w:rFonts w:cstheme="minorHAnsi"/>
          <w:bCs/>
        </w:rPr>
        <w:t>5</w:t>
      </w:r>
      <w:r w:rsidR="008F6D20" w:rsidRPr="00B93280">
        <w:rPr>
          <w:rFonts w:cstheme="minorHAnsi"/>
          <w:bCs/>
        </w:rPr>
        <w:t xml:space="preserve"> TL, araç </w:t>
      </w:r>
      <w:r w:rsidR="00E31A1B" w:rsidRPr="00B93280">
        <w:rPr>
          <w:rFonts w:cstheme="minorHAnsi"/>
          <w:bCs/>
        </w:rPr>
        <w:t>80</w:t>
      </w:r>
      <w:r w:rsidR="008F6D20" w:rsidRPr="00B93280">
        <w:rPr>
          <w:rFonts w:cstheme="minorHAnsi"/>
          <w:bCs/>
        </w:rPr>
        <w:t xml:space="preserve"> TL;</w:t>
      </w:r>
      <w:r w:rsidRPr="00B93280">
        <w:rPr>
          <w:rFonts w:cstheme="minorHAnsi"/>
          <w:bCs/>
        </w:rPr>
        <w:t xml:space="preserve"> </w:t>
      </w:r>
      <w:r w:rsidR="00DC635E" w:rsidRPr="00B93280">
        <w:rPr>
          <w:rFonts w:cstheme="minorHAnsi"/>
          <w:bCs/>
        </w:rPr>
        <w:t xml:space="preserve">Yenikapı-Bursa hattında </w:t>
      </w:r>
      <w:r w:rsidR="00AF7E93" w:rsidRPr="00B93280">
        <w:rPr>
          <w:rFonts w:cstheme="minorHAnsi"/>
          <w:bCs/>
        </w:rPr>
        <w:t>yaya yolcu 2</w:t>
      </w:r>
      <w:r w:rsidR="00FA3B7C" w:rsidRPr="00B93280">
        <w:rPr>
          <w:rFonts w:cstheme="minorHAnsi"/>
          <w:bCs/>
        </w:rPr>
        <w:t>4</w:t>
      </w:r>
      <w:r w:rsidR="00AF7E93" w:rsidRPr="00B93280">
        <w:rPr>
          <w:rFonts w:cstheme="minorHAnsi"/>
          <w:bCs/>
        </w:rPr>
        <w:t xml:space="preserve"> TL, araç içi yolcu sabit 1</w:t>
      </w:r>
      <w:r w:rsidR="00FA3B7C" w:rsidRPr="00B93280">
        <w:rPr>
          <w:rFonts w:cstheme="minorHAnsi"/>
          <w:bCs/>
        </w:rPr>
        <w:t>9</w:t>
      </w:r>
      <w:r w:rsidR="00AF7E93" w:rsidRPr="00B93280">
        <w:rPr>
          <w:rFonts w:cstheme="minorHAnsi"/>
          <w:bCs/>
        </w:rPr>
        <w:t xml:space="preserve"> TL, araç </w:t>
      </w:r>
      <w:r w:rsidR="00FA3B7C" w:rsidRPr="00B93280">
        <w:rPr>
          <w:rFonts w:cstheme="minorHAnsi"/>
          <w:bCs/>
        </w:rPr>
        <w:t>115</w:t>
      </w:r>
      <w:r w:rsidR="00AF7E93" w:rsidRPr="00B93280">
        <w:rPr>
          <w:rFonts w:cstheme="minorHAnsi"/>
          <w:bCs/>
        </w:rPr>
        <w:t xml:space="preserve"> TL;</w:t>
      </w:r>
      <w:r w:rsidRPr="00B93280">
        <w:rPr>
          <w:rFonts w:cstheme="minorHAnsi"/>
          <w:bCs/>
        </w:rPr>
        <w:t xml:space="preserve"> </w:t>
      </w:r>
      <w:r w:rsidR="00DC635E" w:rsidRPr="00B93280">
        <w:rPr>
          <w:rFonts w:cstheme="minorHAnsi"/>
          <w:bCs/>
        </w:rPr>
        <w:t xml:space="preserve">Yenikapı-Bandırma hattında </w:t>
      </w:r>
      <w:r w:rsidR="0004228B" w:rsidRPr="00B93280">
        <w:rPr>
          <w:rFonts w:cstheme="minorHAnsi"/>
          <w:bCs/>
        </w:rPr>
        <w:t xml:space="preserve">yaya yolcu 52 TL, araç içi yolcu sabit </w:t>
      </w:r>
      <w:r w:rsidR="007A5E20" w:rsidRPr="00B93280">
        <w:rPr>
          <w:rFonts w:cstheme="minorHAnsi"/>
          <w:bCs/>
        </w:rPr>
        <w:t>35</w:t>
      </w:r>
      <w:r w:rsidR="0004228B" w:rsidRPr="00B93280">
        <w:rPr>
          <w:rFonts w:cstheme="minorHAnsi"/>
          <w:bCs/>
        </w:rPr>
        <w:t xml:space="preserve"> TL, araç 1</w:t>
      </w:r>
      <w:r w:rsidR="007A5E20" w:rsidRPr="00B93280">
        <w:rPr>
          <w:rFonts w:cstheme="minorHAnsi"/>
          <w:bCs/>
        </w:rPr>
        <w:t>7</w:t>
      </w:r>
      <w:r w:rsidR="0004228B" w:rsidRPr="00B93280">
        <w:rPr>
          <w:rFonts w:cstheme="minorHAnsi"/>
          <w:bCs/>
        </w:rPr>
        <w:t>5 TL</w:t>
      </w:r>
      <w:r w:rsidRPr="00B93280">
        <w:rPr>
          <w:rFonts w:cstheme="minorHAnsi"/>
          <w:bCs/>
        </w:rPr>
        <w:t xml:space="preserve"> olmak üzere </w:t>
      </w:r>
      <w:r w:rsidR="00DC635E" w:rsidRPr="00B93280">
        <w:rPr>
          <w:rFonts w:cstheme="minorHAnsi"/>
          <w:bCs/>
        </w:rPr>
        <w:t>başlayan fiyatlarla</w:t>
      </w:r>
      <w:r w:rsidRPr="00B93280">
        <w:rPr>
          <w:rFonts w:cstheme="minorHAnsi"/>
          <w:bCs/>
        </w:rPr>
        <w:t xml:space="preserve"> avantajlı biletler satışta bulunuyor. </w:t>
      </w:r>
    </w:p>
    <w:p w14:paraId="11CF4F27" w14:textId="591C5592" w:rsidR="00B93280" w:rsidRDefault="00B93280" w:rsidP="00B93280">
      <w:pPr>
        <w:ind w:left="-284"/>
        <w:rPr>
          <w:rFonts w:cstheme="minorHAnsi"/>
          <w:bCs/>
        </w:rPr>
      </w:pPr>
    </w:p>
    <w:p w14:paraId="6D871FF7" w14:textId="760A2BB8" w:rsidR="00B93280" w:rsidRDefault="00182384" w:rsidP="00B93280">
      <w:pPr>
        <w:spacing w:line="240" w:lineRule="auto"/>
        <w:rPr>
          <w:rFonts w:cstheme="minorHAnsi"/>
          <w:iCs/>
          <w:color w:val="000000"/>
          <w:shd w:val="clear" w:color="auto" w:fill="FFFFFF"/>
        </w:rPr>
      </w:pPr>
      <w:r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lastRenderedPageBreak/>
        <w:t>Misafirlerimiz h</w:t>
      </w:r>
      <w:bookmarkStart w:id="0" w:name="_GoBack"/>
      <w:bookmarkEnd w:id="0"/>
      <w:r w:rsidR="00B93280" w:rsidRPr="00B93280">
        <w:rPr>
          <w:rStyle w:val="Strong"/>
          <w:rFonts w:cstheme="minorHAnsi"/>
          <w:b w:val="0"/>
          <w:bCs w:val="0"/>
          <w:color w:val="000000"/>
          <w:shd w:val="clear" w:color="auto" w:fill="FFFFFF"/>
        </w:rPr>
        <w:t>esaplı seçeneklerle satışa sunulan avantajlı biletlerimizi</w:t>
      </w:r>
      <w:r w:rsidR="00B93280">
        <w:rPr>
          <w:rStyle w:val="Strong"/>
          <w:rFonts w:cstheme="minorHAnsi"/>
          <w:color w:val="000000"/>
          <w:shd w:val="clear" w:color="auto" w:fill="FFFFFF"/>
        </w:rPr>
        <w:t xml:space="preserve"> </w:t>
      </w:r>
      <w:hyperlink r:id="rId11" w:history="1">
        <w:r w:rsidR="00B93280" w:rsidRPr="00007691">
          <w:rPr>
            <w:rStyle w:val="Hyperlink"/>
            <w:rFonts w:cstheme="minorHAnsi"/>
            <w:iCs/>
          </w:rPr>
          <w:t>www.ido.com.tr</w:t>
        </w:r>
      </w:hyperlink>
      <w:r w:rsidR="00B93280" w:rsidRPr="00720F35">
        <w:rPr>
          <w:rFonts w:cstheme="minorHAnsi"/>
          <w:iCs/>
          <w:color w:val="000000"/>
          <w:shd w:val="clear" w:color="auto" w:fill="FFFFFF"/>
        </w:rPr>
        <w:t xml:space="preserve"> adresinden, İDO gişelerinden, 0850 222 44 36 </w:t>
      </w:r>
      <w:proofErr w:type="spellStart"/>
      <w:r w:rsidR="00B93280" w:rsidRPr="00720F35">
        <w:rPr>
          <w:rFonts w:cstheme="minorHAnsi"/>
          <w:iCs/>
          <w:color w:val="000000"/>
          <w:shd w:val="clear" w:color="auto" w:fill="FFFFFF"/>
        </w:rPr>
        <w:t>no’lu</w:t>
      </w:r>
      <w:proofErr w:type="spellEnd"/>
      <w:r w:rsidR="00B93280" w:rsidRPr="00720F35">
        <w:rPr>
          <w:rFonts w:cstheme="minorHAnsi"/>
          <w:iCs/>
          <w:color w:val="000000"/>
          <w:shd w:val="clear" w:color="auto" w:fill="FFFFFF"/>
        </w:rPr>
        <w:t xml:space="preserve"> İDO çağrı merkezinden, İDO acente noktalarından ya da İDO mobil uygulamasından </w:t>
      </w:r>
      <w:r w:rsidR="00B93280">
        <w:rPr>
          <w:rFonts w:cstheme="minorHAnsi"/>
          <w:iCs/>
          <w:color w:val="000000"/>
          <w:shd w:val="clear" w:color="auto" w:fill="FFFFFF"/>
        </w:rPr>
        <w:t xml:space="preserve">faydalanarak elde edebilir. </w:t>
      </w:r>
    </w:p>
    <w:p w14:paraId="0AA68E9F" w14:textId="77777777" w:rsidR="00182384" w:rsidRDefault="00182384" w:rsidP="00182384">
      <w:pPr>
        <w:spacing w:after="0"/>
        <w:jc w:val="both"/>
        <w:rPr>
          <w:rFonts w:cstheme="minorHAnsi"/>
          <w:iCs/>
          <w:color w:val="000000"/>
          <w:shd w:val="clear" w:color="auto" w:fill="FFFFFF"/>
        </w:rPr>
      </w:pPr>
    </w:p>
    <w:p w14:paraId="2AF6B55D" w14:textId="5A0B9D83" w:rsidR="00182384" w:rsidRDefault="00182384" w:rsidP="00182384">
      <w:pPr>
        <w:spacing w:after="0"/>
        <w:jc w:val="both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Ayrıntılı Bilgi İçin;</w:t>
      </w:r>
    </w:p>
    <w:p w14:paraId="55987A37" w14:textId="77777777" w:rsidR="00182384" w:rsidRDefault="00182384" w:rsidP="00182384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HK </w:t>
      </w:r>
      <w:proofErr w:type="spellStart"/>
      <w:r>
        <w:rPr>
          <w:rFonts w:cs="Arial"/>
          <w:bCs/>
          <w:i/>
          <w:iCs/>
          <w:sz w:val="20"/>
          <w:szCs w:val="20"/>
        </w:rPr>
        <w:t>Strategies</w:t>
      </w:r>
      <w:proofErr w:type="spellEnd"/>
    </w:p>
    <w:p w14:paraId="55956A1E" w14:textId="77777777" w:rsidR="00182384" w:rsidRDefault="00182384" w:rsidP="00182384">
      <w:pPr>
        <w:spacing w:after="0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>Cenk Erdem –</w:t>
      </w:r>
      <w:hyperlink r:id="rId12" w:history="1">
        <w:r>
          <w:rPr>
            <w:rStyle w:val="Hyperlink"/>
            <w:rFonts w:cs="Arial"/>
            <w:sz w:val="20"/>
            <w:szCs w:val="20"/>
          </w:rPr>
          <w:t xml:space="preserve"> cenk.erdem@hkstrategies.com</w:t>
        </w:r>
      </w:hyperlink>
      <w:r>
        <w:rPr>
          <w:rFonts w:cs="Arial"/>
          <w:bCs/>
          <w:i/>
          <w:iCs/>
          <w:sz w:val="20"/>
          <w:szCs w:val="20"/>
        </w:rPr>
        <w:t xml:space="preserve"> – 0533 569 23 65</w:t>
      </w:r>
    </w:p>
    <w:p w14:paraId="64123E8E" w14:textId="77777777" w:rsidR="00182384" w:rsidRDefault="00182384" w:rsidP="00B93280">
      <w:pPr>
        <w:spacing w:line="240" w:lineRule="auto"/>
        <w:rPr>
          <w:rFonts w:cstheme="minorHAnsi"/>
          <w:iCs/>
          <w:color w:val="000000"/>
          <w:shd w:val="clear" w:color="auto" w:fill="FFFFFF"/>
        </w:rPr>
      </w:pPr>
    </w:p>
    <w:sectPr w:rsidR="00182384" w:rsidSect="00486BDA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50FC1" w14:textId="77777777" w:rsidR="004777D3" w:rsidRDefault="004777D3" w:rsidP="001876A3">
      <w:pPr>
        <w:spacing w:after="0" w:line="240" w:lineRule="auto"/>
      </w:pPr>
      <w:r>
        <w:separator/>
      </w:r>
    </w:p>
  </w:endnote>
  <w:endnote w:type="continuationSeparator" w:id="0">
    <w:p w14:paraId="473F9101" w14:textId="77777777" w:rsidR="004777D3" w:rsidRDefault="004777D3" w:rsidP="0018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42743" w14:textId="77777777" w:rsidR="004777D3" w:rsidRDefault="004777D3" w:rsidP="001876A3">
      <w:pPr>
        <w:spacing w:after="0" w:line="240" w:lineRule="auto"/>
      </w:pPr>
      <w:r>
        <w:separator/>
      </w:r>
    </w:p>
  </w:footnote>
  <w:footnote w:type="continuationSeparator" w:id="0">
    <w:p w14:paraId="6226C2BB" w14:textId="77777777" w:rsidR="004777D3" w:rsidRDefault="004777D3" w:rsidP="00187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16"/>
    <w:rsid w:val="00001F98"/>
    <w:rsid w:val="00012E38"/>
    <w:rsid w:val="0002394B"/>
    <w:rsid w:val="0004228B"/>
    <w:rsid w:val="00047515"/>
    <w:rsid w:val="000A2B90"/>
    <w:rsid w:val="000B2CA5"/>
    <w:rsid w:val="000C4E52"/>
    <w:rsid w:val="000C7DD6"/>
    <w:rsid w:val="000D63C5"/>
    <w:rsid w:val="000E0650"/>
    <w:rsid w:val="000E7E81"/>
    <w:rsid w:val="000F6277"/>
    <w:rsid w:val="000F6D0C"/>
    <w:rsid w:val="00155B5B"/>
    <w:rsid w:val="00182384"/>
    <w:rsid w:val="00184BA2"/>
    <w:rsid w:val="001876A3"/>
    <w:rsid w:val="001A07FA"/>
    <w:rsid w:val="001A4E81"/>
    <w:rsid w:val="001C243E"/>
    <w:rsid w:val="001D02F8"/>
    <w:rsid w:val="001F294A"/>
    <w:rsid w:val="001F3EFA"/>
    <w:rsid w:val="002012BA"/>
    <w:rsid w:val="002075CA"/>
    <w:rsid w:val="00240C0C"/>
    <w:rsid w:val="00245B06"/>
    <w:rsid w:val="002663E3"/>
    <w:rsid w:val="002917D3"/>
    <w:rsid w:val="002947F3"/>
    <w:rsid w:val="00306094"/>
    <w:rsid w:val="003124EA"/>
    <w:rsid w:val="00312D69"/>
    <w:rsid w:val="003433AB"/>
    <w:rsid w:val="00353B57"/>
    <w:rsid w:val="003860C7"/>
    <w:rsid w:val="0039415B"/>
    <w:rsid w:val="003A527B"/>
    <w:rsid w:val="003A5988"/>
    <w:rsid w:val="003D59E3"/>
    <w:rsid w:val="003E5CD8"/>
    <w:rsid w:val="004019D6"/>
    <w:rsid w:val="00405E45"/>
    <w:rsid w:val="004201EB"/>
    <w:rsid w:val="00442DAE"/>
    <w:rsid w:val="00467224"/>
    <w:rsid w:val="00467F54"/>
    <w:rsid w:val="004777D3"/>
    <w:rsid w:val="00486BDA"/>
    <w:rsid w:val="004B4FCD"/>
    <w:rsid w:val="004C7284"/>
    <w:rsid w:val="004D2840"/>
    <w:rsid w:val="004E47AD"/>
    <w:rsid w:val="004E4DED"/>
    <w:rsid w:val="00521B42"/>
    <w:rsid w:val="0052446C"/>
    <w:rsid w:val="005413B2"/>
    <w:rsid w:val="00544FD0"/>
    <w:rsid w:val="00561B26"/>
    <w:rsid w:val="00565C19"/>
    <w:rsid w:val="00587904"/>
    <w:rsid w:val="005925CB"/>
    <w:rsid w:val="005B6B6A"/>
    <w:rsid w:val="005C375F"/>
    <w:rsid w:val="005D0F7E"/>
    <w:rsid w:val="005D3C2C"/>
    <w:rsid w:val="005D438D"/>
    <w:rsid w:val="0060754D"/>
    <w:rsid w:val="00682965"/>
    <w:rsid w:val="00687EC7"/>
    <w:rsid w:val="00692905"/>
    <w:rsid w:val="006B3006"/>
    <w:rsid w:val="006E5216"/>
    <w:rsid w:val="00701E26"/>
    <w:rsid w:val="00701F8C"/>
    <w:rsid w:val="0070659D"/>
    <w:rsid w:val="00720243"/>
    <w:rsid w:val="00726080"/>
    <w:rsid w:val="00730FA8"/>
    <w:rsid w:val="0073182D"/>
    <w:rsid w:val="00745D81"/>
    <w:rsid w:val="007573E0"/>
    <w:rsid w:val="007761A8"/>
    <w:rsid w:val="0078201B"/>
    <w:rsid w:val="007942C7"/>
    <w:rsid w:val="007A5E20"/>
    <w:rsid w:val="007C1A7D"/>
    <w:rsid w:val="007D3513"/>
    <w:rsid w:val="007F1569"/>
    <w:rsid w:val="008070A4"/>
    <w:rsid w:val="008140EC"/>
    <w:rsid w:val="00821428"/>
    <w:rsid w:val="00836F6A"/>
    <w:rsid w:val="00857DD7"/>
    <w:rsid w:val="00864B82"/>
    <w:rsid w:val="0088216E"/>
    <w:rsid w:val="00893F87"/>
    <w:rsid w:val="008D1299"/>
    <w:rsid w:val="008D4F13"/>
    <w:rsid w:val="008D7169"/>
    <w:rsid w:val="008D7552"/>
    <w:rsid w:val="008F6D20"/>
    <w:rsid w:val="0091576A"/>
    <w:rsid w:val="00922D4D"/>
    <w:rsid w:val="00923782"/>
    <w:rsid w:val="009506A8"/>
    <w:rsid w:val="0095660D"/>
    <w:rsid w:val="00957837"/>
    <w:rsid w:val="00965C89"/>
    <w:rsid w:val="009B7E79"/>
    <w:rsid w:val="009C0CAC"/>
    <w:rsid w:val="009C2CA5"/>
    <w:rsid w:val="00A366D9"/>
    <w:rsid w:val="00A56224"/>
    <w:rsid w:val="00AA01AC"/>
    <w:rsid w:val="00AA09F5"/>
    <w:rsid w:val="00AB1C5F"/>
    <w:rsid w:val="00AB54BB"/>
    <w:rsid w:val="00AC1312"/>
    <w:rsid w:val="00AF7E93"/>
    <w:rsid w:val="00B27C9C"/>
    <w:rsid w:val="00B3428A"/>
    <w:rsid w:val="00B36E70"/>
    <w:rsid w:val="00B420AC"/>
    <w:rsid w:val="00B93280"/>
    <w:rsid w:val="00BA6E23"/>
    <w:rsid w:val="00BB2743"/>
    <w:rsid w:val="00BE481E"/>
    <w:rsid w:val="00BF25AF"/>
    <w:rsid w:val="00C07526"/>
    <w:rsid w:val="00C15482"/>
    <w:rsid w:val="00C1684E"/>
    <w:rsid w:val="00C32F2B"/>
    <w:rsid w:val="00C767B7"/>
    <w:rsid w:val="00CC15F9"/>
    <w:rsid w:val="00CD0B8D"/>
    <w:rsid w:val="00CE1F22"/>
    <w:rsid w:val="00D15209"/>
    <w:rsid w:val="00D277EE"/>
    <w:rsid w:val="00D50BB2"/>
    <w:rsid w:val="00D525CF"/>
    <w:rsid w:val="00D611EE"/>
    <w:rsid w:val="00D662A8"/>
    <w:rsid w:val="00D71253"/>
    <w:rsid w:val="00D85335"/>
    <w:rsid w:val="00D90FB6"/>
    <w:rsid w:val="00DC4713"/>
    <w:rsid w:val="00DC635E"/>
    <w:rsid w:val="00DE3E2D"/>
    <w:rsid w:val="00E0727A"/>
    <w:rsid w:val="00E31A1B"/>
    <w:rsid w:val="00E41DEC"/>
    <w:rsid w:val="00E43948"/>
    <w:rsid w:val="00E44330"/>
    <w:rsid w:val="00E65E7B"/>
    <w:rsid w:val="00E74425"/>
    <w:rsid w:val="00EA0A0A"/>
    <w:rsid w:val="00EB20A4"/>
    <w:rsid w:val="00EB2D68"/>
    <w:rsid w:val="00ED74E6"/>
    <w:rsid w:val="00EF4441"/>
    <w:rsid w:val="00F02FA5"/>
    <w:rsid w:val="00F30ADF"/>
    <w:rsid w:val="00F532C4"/>
    <w:rsid w:val="00F6745B"/>
    <w:rsid w:val="00F67551"/>
    <w:rsid w:val="00F80DEB"/>
    <w:rsid w:val="00F82B2B"/>
    <w:rsid w:val="00FA3B7C"/>
    <w:rsid w:val="00FC7410"/>
    <w:rsid w:val="00FE1038"/>
    <w:rsid w:val="00FE3125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1044"/>
  <w15:docId w15:val="{A221026F-03B0-4A23-AF09-72C7AFEA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40"/>
    <w:rPr>
      <w:rFonts w:ascii="Segoe UI" w:eastAsiaTheme="minorEastAsia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6A3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8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6A3"/>
    <w:rPr>
      <w:rFonts w:eastAsiaTheme="minorEastAsia"/>
      <w:lang w:eastAsia="tr-TR"/>
    </w:rPr>
  </w:style>
  <w:style w:type="character" w:styleId="Strong">
    <w:name w:val="Strong"/>
    <w:basedOn w:val="DefaultParagraphFont"/>
    <w:uiPriority w:val="22"/>
    <w:qFormat/>
    <w:rsid w:val="00C32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B93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%20cenk.erdem@hkstrategie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do.com.t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670048F40012F46BEFBE3EFBE64AD92" ma:contentTypeVersion="11" ma:contentTypeDescription="Yeni belge oluşturun." ma:contentTypeScope="" ma:versionID="9a196ea172d2be5bb660e16a2f674ff1">
  <xsd:schema xmlns:xsd="http://www.w3.org/2001/XMLSchema" xmlns:xs="http://www.w3.org/2001/XMLSchema" xmlns:p="http://schemas.microsoft.com/office/2006/metadata/properties" xmlns:ns3="d51869a2-bcf6-4f68-b35c-c1488e471c19" xmlns:ns4="cc1b2eb7-54ba-4c74-af63-952269720021" targetNamespace="http://schemas.microsoft.com/office/2006/metadata/properties" ma:root="true" ma:fieldsID="f6c9804716c796fc2eaf9f6788dcb563" ns3:_="" ns4:_="">
    <xsd:import namespace="d51869a2-bcf6-4f68-b35c-c1488e471c19"/>
    <xsd:import namespace="cc1b2eb7-54ba-4c74-af63-952269720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869a2-bcf6-4f68-b35c-c1488e471c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2eb7-54ba-4c74-af63-952269720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CCEF0-554E-4915-A505-1EF5DF50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869a2-bcf6-4f68-b35c-c1488e471c19"/>
    <ds:schemaRef ds:uri="cc1b2eb7-54ba-4c74-af63-952269720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F45A0-EFD1-4AC3-86E1-08BA433B2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2785A-1B6F-435D-B6D9-881E624CF0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B932EC-9508-4720-BB68-316127F1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Cenk Erdem</cp:lastModifiedBy>
  <cp:revision>8</cp:revision>
  <cp:lastPrinted>2019-12-17T08:15:00Z</cp:lastPrinted>
  <dcterms:created xsi:type="dcterms:W3CDTF">2019-12-18T12:05:00Z</dcterms:created>
  <dcterms:modified xsi:type="dcterms:W3CDTF">2020-01-02T12:33:00Z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0x010100C670048F40012F46BEFBE3EFBE64AD92</vt:lpwstr>
  </property>
</Properties>
</file>